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CC" w:rsidRDefault="00700DCC" w:rsidP="00700DCC">
      <w:pPr>
        <w:tabs>
          <w:tab w:val="left" w:pos="709"/>
        </w:tabs>
        <w:ind w:right="142"/>
        <w:rPr>
          <w:rFonts w:ascii="Arial" w:eastAsia="Times New Roman" w:hAnsi="Arial" w:cs="Arial"/>
          <w:smallCaps/>
          <w:szCs w:val="20"/>
          <w:u w:val="single"/>
          <w:lang w:eastAsia="ar-SA"/>
        </w:rPr>
      </w:pPr>
    </w:p>
    <w:p w:rsidR="00700DCC" w:rsidRDefault="00700DCC" w:rsidP="00700DCC">
      <w:pPr>
        <w:tabs>
          <w:tab w:val="left" w:pos="709"/>
        </w:tabs>
        <w:ind w:right="140"/>
        <w:rPr>
          <w:rFonts w:ascii="Arial" w:eastAsia="Times New Roman" w:hAnsi="Arial" w:cs="Arial"/>
          <w:smallCaps/>
          <w:szCs w:val="20"/>
          <w:u w:val="single"/>
          <w:lang w:eastAsia="ar-SA"/>
        </w:rPr>
      </w:pPr>
    </w:p>
    <w:p w:rsidR="00700DCC" w:rsidRPr="00CB3301" w:rsidRDefault="00700DCC" w:rsidP="00700DCC">
      <w:pPr>
        <w:rPr>
          <w:rFonts w:ascii="Arial" w:hAnsi="Arial" w:cs="Arial"/>
          <w:sz w:val="20"/>
          <w:szCs w:val="20"/>
        </w:rPr>
      </w:pPr>
    </w:p>
    <w:p w:rsidR="00700DCC" w:rsidRDefault="00700DCC" w:rsidP="00700DCC">
      <w:pPr>
        <w:pStyle w:val="Titre6"/>
        <w:numPr>
          <w:ilvl w:val="5"/>
          <w:numId w:val="0"/>
        </w:numPr>
        <w:tabs>
          <w:tab w:val="left" w:pos="0"/>
          <w:tab w:val="left" w:pos="709"/>
        </w:tabs>
        <w:ind w:right="140"/>
        <w:rPr>
          <w:rFonts w:ascii="Arial" w:hAnsi="Arial" w:cs="Arial"/>
          <w:szCs w:val="28"/>
          <w:lang w:eastAsia="ar-SA"/>
        </w:rPr>
      </w:pPr>
    </w:p>
    <w:p w:rsidR="00700DCC" w:rsidRPr="00BD54A0" w:rsidRDefault="00700DCC" w:rsidP="00700DCC">
      <w:pPr>
        <w:pStyle w:val="Titre6"/>
        <w:numPr>
          <w:ilvl w:val="5"/>
          <w:numId w:val="0"/>
        </w:numPr>
        <w:tabs>
          <w:tab w:val="left" w:pos="0"/>
          <w:tab w:val="left" w:pos="709"/>
        </w:tabs>
        <w:ind w:right="140"/>
        <w:rPr>
          <w:rFonts w:ascii="Arial" w:hAnsi="Arial" w:cs="Arial"/>
          <w:szCs w:val="28"/>
          <w:lang w:eastAsia="ar-SA"/>
        </w:rPr>
      </w:pPr>
      <w:r>
        <w:rPr>
          <w:rFonts w:ascii="Arial" w:hAnsi="Arial" w:cs="Arial"/>
          <w:szCs w:val="28"/>
          <w:lang w:eastAsia="ar-SA"/>
        </w:rPr>
        <w:t>ORDRE DU JOUR</w:t>
      </w:r>
      <w:r w:rsidRPr="00B73791">
        <w:rPr>
          <w:rFonts w:ascii="Arial" w:hAnsi="Arial" w:cs="Arial"/>
          <w:szCs w:val="28"/>
          <w:lang w:eastAsia="ar-SA"/>
        </w:rPr>
        <w:t xml:space="preserve"> DU CONSEIL MUNICIPAL</w:t>
      </w:r>
    </w:p>
    <w:p w:rsidR="00700DCC" w:rsidRPr="00B73791" w:rsidRDefault="00700DCC" w:rsidP="00700DCC">
      <w:pPr>
        <w:ind w:right="140"/>
        <w:jc w:val="both"/>
        <w:rPr>
          <w:rFonts w:ascii="Arial" w:eastAsia="Times New Roman" w:hAnsi="Arial" w:cs="Arial"/>
          <w:szCs w:val="20"/>
          <w:lang w:eastAsia="ar-SA"/>
        </w:rPr>
      </w:pPr>
    </w:p>
    <w:p w:rsidR="00700DCC" w:rsidRPr="00721C16" w:rsidRDefault="00700DCC" w:rsidP="00700DCC">
      <w:pPr>
        <w:tabs>
          <w:tab w:val="left" w:pos="709"/>
        </w:tabs>
        <w:ind w:right="142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700DCC" w:rsidRDefault="00700DCC" w:rsidP="00700DCC">
      <w:pPr>
        <w:tabs>
          <w:tab w:val="left" w:pos="709"/>
        </w:tabs>
        <w:ind w:right="140"/>
        <w:jc w:val="center"/>
        <w:rPr>
          <w:rFonts w:ascii="Arial" w:eastAsia="Times New Roman" w:hAnsi="Arial" w:cs="Arial"/>
          <w:b/>
          <w:sz w:val="28"/>
          <w:szCs w:val="28"/>
          <w:lang w:val="de-DE" w:eastAsia="ar-SA"/>
        </w:rPr>
      </w:pPr>
      <w:r>
        <w:rPr>
          <w:rFonts w:ascii="Arial" w:eastAsia="Times New Roman" w:hAnsi="Arial" w:cs="Arial"/>
          <w:b/>
          <w:sz w:val="28"/>
          <w:szCs w:val="28"/>
          <w:lang w:val="de-DE" w:eastAsia="ar-SA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MARDI 29 MARS 2022</w:t>
      </w:r>
    </w:p>
    <w:p w:rsidR="00700DCC" w:rsidRDefault="00700DCC" w:rsidP="00700DCC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proofErr w:type="gramStart"/>
      <w:r w:rsidRPr="00B73791">
        <w:rPr>
          <w:rFonts w:ascii="Arial" w:eastAsia="Times New Roman" w:hAnsi="Arial" w:cs="Arial"/>
          <w:b/>
          <w:sz w:val="28"/>
          <w:szCs w:val="28"/>
          <w:lang w:eastAsia="ar-SA"/>
        </w:rPr>
        <w:t>à</w:t>
      </w:r>
      <w:proofErr w:type="gramEnd"/>
      <w:r w:rsidRPr="00B73791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20 heures 30</w:t>
      </w:r>
    </w:p>
    <w:p w:rsidR="00700DCC" w:rsidRDefault="00700DCC" w:rsidP="00700DCC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ar-SA"/>
        </w:rPr>
        <w:t>à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l’Hôtel de Ville – Salle du Conseil</w:t>
      </w:r>
    </w:p>
    <w:p w:rsidR="00700DCC" w:rsidRPr="001D75A4" w:rsidRDefault="00700DCC" w:rsidP="00700DCC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10"/>
          <w:szCs w:val="28"/>
          <w:lang w:eastAsia="ar-SA"/>
        </w:rPr>
      </w:pPr>
    </w:p>
    <w:p w:rsidR="00700DCC" w:rsidRDefault="00700DCC" w:rsidP="00700DCC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2"/>
          <w:szCs w:val="28"/>
          <w:lang w:eastAsia="ar-SA"/>
        </w:rPr>
      </w:pPr>
    </w:p>
    <w:p w:rsidR="00700DCC" w:rsidRPr="00DF48DE" w:rsidRDefault="00700DCC" w:rsidP="00700DCC">
      <w:pPr>
        <w:tabs>
          <w:tab w:val="left" w:pos="709"/>
          <w:tab w:val="left" w:pos="1329"/>
        </w:tabs>
        <w:ind w:right="140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700DCC" w:rsidRDefault="00700DCC" w:rsidP="00700DCC">
      <w:pPr>
        <w:pStyle w:val="Corpsdetexte31"/>
        <w:tabs>
          <w:tab w:val="left" w:pos="709"/>
        </w:tabs>
        <w:rPr>
          <w:rFonts w:ascii="Arial" w:eastAsia="Times New Roman" w:hAnsi="Arial" w:cs="Arial"/>
          <w:bCs w:val="0"/>
          <w:szCs w:val="20"/>
          <w:lang w:eastAsia="ar-SA"/>
        </w:rPr>
      </w:pPr>
      <w:proofErr w:type="gramStart"/>
      <w:r w:rsidRPr="00B73791">
        <w:rPr>
          <w:rFonts w:ascii="Arial" w:eastAsia="Times New Roman" w:hAnsi="Arial" w:cs="Arial"/>
          <w:bCs w:val="0"/>
          <w:szCs w:val="20"/>
          <w:lang w:eastAsia="ar-SA"/>
        </w:rPr>
        <w:t>avec</w:t>
      </w:r>
      <w:proofErr w:type="gramEnd"/>
      <w:r w:rsidRPr="00B73791">
        <w:rPr>
          <w:rFonts w:ascii="Arial" w:eastAsia="Times New Roman" w:hAnsi="Arial" w:cs="Arial"/>
          <w:bCs w:val="0"/>
          <w:szCs w:val="20"/>
          <w:lang w:eastAsia="ar-SA"/>
        </w:rPr>
        <w:t xml:space="preserve"> l'ordre du jour suivant :</w:t>
      </w:r>
    </w:p>
    <w:p w:rsidR="00700DCC" w:rsidRDefault="00700DCC" w:rsidP="00700DCC">
      <w:pPr>
        <w:pStyle w:val="Corpsdetexte31"/>
        <w:tabs>
          <w:tab w:val="left" w:pos="709"/>
        </w:tabs>
        <w:rPr>
          <w:rFonts w:ascii="Arial" w:eastAsia="Times New Roman" w:hAnsi="Arial" w:cs="Arial"/>
          <w:bCs w:val="0"/>
          <w:szCs w:val="20"/>
          <w:lang w:eastAsia="ar-SA"/>
        </w:rPr>
      </w:pPr>
    </w:p>
    <w:p w:rsidR="00700DCC" w:rsidRPr="00675C75" w:rsidRDefault="00700DCC" w:rsidP="00700DCC">
      <w:pPr>
        <w:pStyle w:val="Corpsdetexte31"/>
        <w:tabs>
          <w:tab w:val="left" w:pos="709"/>
        </w:tabs>
        <w:ind w:right="28"/>
        <w:rPr>
          <w:rFonts w:ascii="Arial" w:eastAsia="Times New Roman" w:hAnsi="Arial" w:cs="Arial"/>
          <w:b/>
          <w:bCs w:val="0"/>
          <w:sz w:val="10"/>
          <w:szCs w:val="10"/>
          <w:u w:val="single"/>
          <w:lang w:eastAsia="ar-SA"/>
        </w:rPr>
      </w:pPr>
      <w:r>
        <w:rPr>
          <w:rFonts w:ascii="Arial" w:eastAsia="Times New Roman" w:hAnsi="Arial" w:cs="Arial"/>
          <w:b/>
          <w:bCs w:val="0"/>
          <w:szCs w:val="20"/>
          <w:u w:val="single"/>
          <w:lang w:eastAsia="ar-SA"/>
        </w:rPr>
        <w:t>Approbation du compte-rendu de la séance du Conseil municipal du 16 décembre 2021</w:t>
      </w:r>
    </w:p>
    <w:p w:rsidR="00700DCC" w:rsidRDefault="00700DCC" w:rsidP="00700DCC">
      <w:pPr>
        <w:pStyle w:val="Corpsdetexte31"/>
        <w:tabs>
          <w:tab w:val="left" w:pos="709"/>
        </w:tabs>
        <w:ind w:right="26"/>
        <w:rPr>
          <w:rFonts w:ascii="Arial" w:eastAsia="Times New Roman" w:hAnsi="Arial" w:cs="Arial"/>
          <w:b/>
          <w:bCs w:val="0"/>
          <w:i/>
          <w:szCs w:val="20"/>
          <w:lang w:eastAsia="ar-SA"/>
        </w:rPr>
      </w:pPr>
    </w:p>
    <w:p w:rsidR="00700DCC" w:rsidRPr="00800AA5" w:rsidRDefault="00700DCC" w:rsidP="00700DCC">
      <w:pPr>
        <w:widowControl/>
        <w:suppressAutoHyphens w:val="0"/>
        <w:jc w:val="both"/>
        <w:rPr>
          <w:rFonts w:ascii="Arial" w:hAnsi="Arial" w:cs="Arial"/>
          <w:b/>
          <w:u w:val="single"/>
        </w:rPr>
      </w:pPr>
      <w:r w:rsidRPr="00243468">
        <w:rPr>
          <w:rFonts w:ascii="Arial" w:hAnsi="Arial" w:cs="Arial"/>
          <w:b/>
          <w:u w:val="single"/>
        </w:rPr>
        <w:t>SERVIC</w:t>
      </w:r>
      <w:r w:rsidRPr="00800AA5">
        <w:rPr>
          <w:rFonts w:ascii="Arial" w:hAnsi="Arial" w:cs="Arial"/>
          <w:b/>
          <w:u w:val="single"/>
        </w:rPr>
        <w:t>E FINANCES</w:t>
      </w:r>
    </w:p>
    <w:p w:rsidR="00700DCC" w:rsidRPr="00800AA5" w:rsidRDefault="00700DCC" w:rsidP="00700DCC">
      <w:pPr>
        <w:widowControl/>
        <w:suppressAutoHyphens w:val="0"/>
        <w:jc w:val="both"/>
        <w:rPr>
          <w:rFonts w:ascii="Arial" w:hAnsi="Arial" w:cs="Arial"/>
          <w:highlight w:val="yellow"/>
        </w:rPr>
      </w:pPr>
    </w:p>
    <w:p w:rsidR="00700DCC" w:rsidRPr="00A403FB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 w:rsidRPr="00A403FB">
        <w:rPr>
          <w:rFonts w:ascii="Arial" w:eastAsia="Times New Roman" w:hAnsi="Arial" w:cs="Arial"/>
          <w:bCs/>
          <w:lang w:eastAsia="ar-SA"/>
        </w:rPr>
        <w:t>Budget principal – Approbation du compte de gestion de l’exercice 2021</w:t>
      </w:r>
    </w:p>
    <w:p w:rsidR="00700DCC" w:rsidRPr="008D11D8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i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Budget principal – Approbation du compte administratif de l’exercice 2021</w:t>
      </w:r>
    </w:p>
    <w:p w:rsidR="00700DCC" w:rsidRPr="00B92FD3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i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Budget principal – </w:t>
      </w:r>
      <w:r w:rsidRPr="00B92FD3">
        <w:rPr>
          <w:rFonts w:ascii="Arial" w:eastAsia="Times New Roman" w:hAnsi="Arial" w:cs="Arial"/>
          <w:bCs/>
          <w:lang w:eastAsia="ar-SA"/>
        </w:rPr>
        <w:t>Affectation du résultat</w:t>
      </w:r>
      <w:r>
        <w:rPr>
          <w:rFonts w:ascii="Arial" w:eastAsia="Times New Roman" w:hAnsi="Arial" w:cs="Arial"/>
          <w:bCs/>
          <w:lang w:eastAsia="ar-SA"/>
        </w:rPr>
        <w:t xml:space="preserve"> de l’exercice 2021</w:t>
      </w:r>
    </w:p>
    <w:p w:rsidR="00700DCC" w:rsidRPr="005B5FC4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i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Fixation des taux des impôts locaux pour l’année 2022</w:t>
      </w:r>
    </w:p>
    <w:p w:rsidR="00700DCC" w:rsidRPr="008D11D8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i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Budget principal – Adoption du budget primitif 2022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C971E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C971EC">
        <w:rPr>
          <w:rFonts w:ascii="Arial" w:eastAsia="Times New Roman" w:hAnsi="Arial" w:cs="Arial"/>
          <w:b/>
          <w:bCs/>
          <w:u w:val="single"/>
          <w:lang w:eastAsia="ar-SA"/>
        </w:rPr>
        <w:t>SERVICE SPORTS ET VIE ASSOCIATIVE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Default="00700DCC" w:rsidP="00700DCC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B3B2D">
        <w:rPr>
          <w:rFonts w:ascii="Arial" w:hAnsi="Arial" w:cs="Arial"/>
        </w:rPr>
        <w:t>ttribution de subventions de fonctionnement de moins de 10 000 € aux assoc</w:t>
      </w:r>
      <w:r>
        <w:rPr>
          <w:rFonts w:ascii="Arial" w:hAnsi="Arial" w:cs="Arial"/>
        </w:rPr>
        <w:t>iations au titre de l’année 2022</w:t>
      </w:r>
    </w:p>
    <w:p w:rsidR="00700DCC" w:rsidRDefault="00700DCC" w:rsidP="00700DCC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</w:rPr>
      </w:pPr>
      <w:r w:rsidRPr="00FB3B2D">
        <w:rPr>
          <w:rFonts w:ascii="Arial" w:hAnsi="Arial" w:cs="Arial"/>
        </w:rPr>
        <w:t>Attribution d’une subvention de fonctionnement à l’</w:t>
      </w:r>
      <w:r>
        <w:rPr>
          <w:rFonts w:ascii="Arial" w:hAnsi="Arial" w:cs="Arial"/>
        </w:rPr>
        <w:t>A</w:t>
      </w:r>
      <w:r w:rsidRPr="00FB3B2D">
        <w:rPr>
          <w:rFonts w:ascii="Arial" w:hAnsi="Arial" w:cs="Arial"/>
        </w:rPr>
        <w:t xml:space="preserve">ssociation des </w:t>
      </w:r>
      <w:r>
        <w:rPr>
          <w:rFonts w:ascii="Arial" w:hAnsi="Arial" w:cs="Arial"/>
        </w:rPr>
        <w:t>Familles au titre de l’année 2022</w:t>
      </w:r>
    </w:p>
    <w:p w:rsidR="00700DCC" w:rsidRPr="00C971E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 w:rsidRPr="00C971EC">
        <w:rPr>
          <w:rFonts w:ascii="Arial" w:hAnsi="Arial" w:cs="Arial"/>
        </w:rPr>
        <w:t>Attribution d’une subvention de fonctionnement à V2i au titre de l’année 202</w:t>
      </w:r>
      <w:r>
        <w:rPr>
          <w:rFonts w:ascii="Arial" w:hAnsi="Arial" w:cs="Arial"/>
        </w:rPr>
        <w:t>2</w:t>
      </w:r>
    </w:p>
    <w:p w:rsidR="00700DC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Attribution d’une subvention au Trait d’union de Verrières-le-Buisson (TUVB) au titre de l’année 2022</w:t>
      </w:r>
    </w:p>
    <w:p w:rsidR="00700DCC" w:rsidRPr="00C971E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BD3934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iCs/>
          <w:u w:val="single"/>
          <w:lang w:eastAsia="ar-SA"/>
        </w:rPr>
      </w:pPr>
      <w:r>
        <w:rPr>
          <w:rFonts w:ascii="Arial" w:eastAsia="Times New Roman" w:hAnsi="Arial" w:cs="Arial"/>
          <w:b/>
          <w:iCs/>
          <w:u w:val="single"/>
          <w:lang w:eastAsia="ar-SA"/>
        </w:rPr>
        <w:t xml:space="preserve">DIRECTION DES </w:t>
      </w:r>
      <w:r w:rsidRPr="00BD3934">
        <w:rPr>
          <w:rFonts w:ascii="Arial" w:eastAsia="Times New Roman" w:hAnsi="Arial" w:cs="Arial"/>
          <w:b/>
          <w:iCs/>
          <w:u w:val="single"/>
          <w:lang w:eastAsia="ar-SA"/>
        </w:rPr>
        <w:t>RESSOURCES HUMAINES</w:t>
      </w:r>
    </w:p>
    <w:p w:rsidR="00700DCC" w:rsidRPr="00BD3934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i/>
          <w:lang w:eastAsia="ar-SA"/>
        </w:rPr>
      </w:pPr>
    </w:p>
    <w:p w:rsidR="00700DCC" w:rsidRPr="00BD3934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iCs/>
          <w:lang w:eastAsia="ar-SA"/>
        </w:rPr>
      </w:pPr>
      <w:r w:rsidRPr="00BD3934">
        <w:rPr>
          <w:rFonts w:ascii="Arial" w:eastAsia="Times New Roman" w:hAnsi="Arial" w:cs="Arial"/>
          <w:bCs/>
          <w:iCs/>
          <w:lang w:eastAsia="ar-SA"/>
        </w:rPr>
        <w:t>Création et suppression de postes</w:t>
      </w:r>
    </w:p>
    <w:p w:rsidR="00700DCC" w:rsidRPr="005B5FC4" w:rsidRDefault="00700DCC" w:rsidP="00700DCC">
      <w:pPr>
        <w:pStyle w:val="Paragraphedeliste"/>
        <w:widowControl/>
        <w:suppressAutoHyphens w:val="0"/>
        <w:jc w:val="both"/>
        <w:rPr>
          <w:rFonts w:ascii="Arial" w:eastAsia="Times New Roman" w:hAnsi="Arial" w:cs="Arial"/>
          <w:bCs/>
          <w:iCs/>
          <w:color w:val="FF0000"/>
          <w:lang w:eastAsia="ar-SA"/>
        </w:rPr>
      </w:pP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AC182E">
        <w:rPr>
          <w:rFonts w:ascii="Arial" w:eastAsia="Times New Roman" w:hAnsi="Arial" w:cs="Arial"/>
          <w:b/>
          <w:bCs/>
          <w:u w:val="single"/>
          <w:lang w:eastAsia="ar-SA"/>
        </w:rPr>
        <w:t>DIRECTION GENERALE DES SERVICES</w:t>
      </w:r>
    </w:p>
    <w:p w:rsidR="00700DCC" w:rsidRPr="00AC182E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700DC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Approbation du rapport de la Commission locale d’évaluation des compétences transférées (CLECT) du 9 février 2022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4B56BB">
        <w:rPr>
          <w:rFonts w:ascii="Arial" w:eastAsia="Times New Roman" w:hAnsi="Arial" w:cs="Arial"/>
          <w:b/>
          <w:bCs/>
          <w:u w:val="single"/>
          <w:lang w:eastAsia="ar-SA"/>
        </w:rPr>
        <w:t xml:space="preserve">SERVICE </w:t>
      </w:r>
      <w:r>
        <w:rPr>
          <w:rFonts w:ascii="Arial" w:eastAsia="Times New Roman" w:hAnsi="Arial" w:cs="Arial"/>
          <w:b/>
          <w:bCs/>
          <w:u w:val="single"/>
          <w:lang w:eastAsia="ar-SA"/>
        </w:rPr>
        <w:t>COMMANDE PUBLIQUE, AFFAIRES JURIDIQUES, ASSURANCES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700DC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Avenant n° 2 au marché n° 1182 relatif au nettoyage et à l’entretien des bâtiments communaux</w:t>
      </w:r>
    </w:p>
    <w:p w:rsidR="00700DC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Demande de dérogation à la règle du repos dominical des salariés sollicitée par l’association syndicale des copropriétaires du Clos de Verrières</w:t>
      </w:r>
    </w:p>
    <w:p w:rsidR="00700DCC" w:rsidRPr="00151D83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1136D3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1136D3">
        <w:rPr>
          <w:rFonts w:ascii="Arial" w:eastAsia="Times New Roman" w:hAnsi="Arial" w:cs="Arial"/>
          <w:b/>
          <w:bCs/>
          <w:u w:val="single"/>
          <w:lang w:eastAsia="ar-SA"/>
        </w:rPr>
        <w:t>DIRECTION DES SERVICES TECHNIQUES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Default="00700DCC" w:rsidP="00700DCC">
      <w:pPr>
        <w:pStyle w:val="Corpsdetexte"/>
        <w:widowControl/>
        <w:numPr>
          <w:ilvl w:val="0"/>
          <w:numId w:val="2"/>
        </w:numPr>
        <w:tabs>
          <w:tab w:val="left" w:pos="1134"/>
        </w:tabs>
        <w:suppressAutoHyphens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Transfert au Sigeif de la compétence Infrastructures de recharge pour véhicules électriques (IRVE) – Approbation de la première convention particulière pour la création, l’entretien et l’exploitation d’IRVE – Reprise des bornes Autolib’</w:t>
      </w:r>
    </w:p>
    <w:p w:rsidR="00700DC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contextualSpacing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Convention entre</w:t>
      </w:r>
      <w:r w:rsidRPr="00C23101">
        <w:rPr>
          <w:rFonts w:ascii="Arial" w:eastAsia="Times New Roman" w:hAnsi="Arial" w:cs="Arial"/>
          <w:bCs/>
          <w:lang w:eastAsia="ar-SA"/>
        </w:rPr>
        <w:t xml:space="preserve"> l’ALEC (Agence </w:t>
      </w:r>
      <w:r>
        <w:rPr>
          <w:rFonts w:ascii="Arial" w:eastAsia="Times New Roman" w:hAnsi="Arial" w:cs="Arial"/>
          <w:bCs/>
          <w:lang w:eastAsia="ar-SA"/>
        </w:rPr>
        <w:t>l</w:t>
      </w:r>
      <w:r w:rsidRPr="00C23101">
        <w:rPr>
          <w:rFonts w:ascii="Arial" w:eastAsia="Times New Roman" w:hAnsi="Arial" w:cs="Arial"/>
          <w:bCs/>
          <w:lang w:eastAsia="ar-SA"/>
        </w:rPr>
        <w:t>ocale de l’</w:t>
      </w:r>
      <w:r>
        <w:rPr>
          <w:rFonts w:ascii="Arial" w:eastAsia="Times New Roman" w:hAnsi="Arial" w:cs="Arial"/>
          <w:bCs/>
          <w:lang w:eastAsia="ar-SA"/>
        </w:rPr>
        <w:t>é</w:t>
      </w:r>
      <w:r w:rsidRPr="00C23101">
        <w:rPr>
          <w:rFonts w:ascii="Arial" w:eastAsia="Times New Roman" w:hAnsi="Arial" w:cs="Arial"/>
          <w:bCs/>
          <w:lang w:eastAsia="ar-SA"/>
        </w:rPr>
        <w:t>nergie et d</w:t>
      </w:r>
      <w:r>
        <w:rPr>
          <w:rFonts w:ascii="Arial" w:eastAsia="Times New Roman" w:hAnsi="Arial" w:cs="Arial"/>
          <w:bCs/>
          <w:lang w:eastAsia="ar-SA"/>
        </w:rPr>
        <w:t>u c</w:t>
      </w:r>
      <w:r w:rsidRPr="00C23101">
        <w:rPr>
          <w:rFonts w:ascii="Arial" w:eastAsia="Times New Roman" w:hAnsi="Arial" w:cs="Arial"/>
          <w:bCs/>
          <w:lang w:eastAsia="ar-SA"/>
        </w:rPr>
        <w:t>limat) Ouest Essonne</w:t>
      </w:r>
      <w:r>
        <w:rPr>
          <w:rFonts w:ascii="Arial" w:eastAsia="Times New Roman" w:hAnsi="Arial" w:cs="Arial"/>
          <w:bCs/>
          <w:lang w:eastAsia="ar-SA"/>
        </w:rPr>
        <w:t xml:space="preserve"> et la commune de Verrières-le-Buisson </w:t>
      </w:r>
    </w:p>
    <w:p w:rsidR="00700DCC" w:rsidRDefault="00700DCC" w:rsidP="00700DCC">
      <w:pPr>
        <w:pStyle w:val="Paragraphedeliste"/>
        <w:widowControl/>
        <w:suppressAutoHyphens w:val="0"/>
        <w:contextualSpacing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FA27E2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FA27E2">
        <w:rPr>
          <w:rFonts w:ascii="Arial" w:eastAsia="Times New Roman" w:hAnsi="Arial" w:cs="Arial"/>
          <w:b/>
          <w:bCs/>
          <w:u w:val="single"/>
          <w:lang w:eastAsia="ar-SA"/>
        </w:rPr>
        <w:t>SERVICE URBANISME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FA27E2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Contractualisation dans le cadre du dispositif de l’Aide à la relance de la construction durable</w:t>
      </w:r>
    </w:p>
    <w:p w:rsidR="00700DC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Classement de la parcelle AD 225 dans le domaine public routier communal</w:t>
      </w:r>
    </w:p>
    <w:p w:rsidR="00700DCC" w:rsidRDefault="00700DCC" w:rsidP="00700DCC">
      <w:pPr>
        <w:widowControl/>
        <w:suppressAutoHyphens w:val="0"/>
        <w:jc w:val="center"/>
        <w:rPr>
          <w:rFonts w:ascii="Arial" w:eastAsia="Times New Roman" w:hAnsi="Arial" w:cs="Arial"/>
          <w:bCs/>
          <w:lang w:eastAsia="ar-SA"/>
        </w:rPr>
      </w:pPr>
    </w:p>
    <w:p w:rsidR="00700DCC" w:rsidRPr="007677E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677EC">
        <w:rPr>
          <w:rFonts w:ascii="Arial" w:eastAsia="Times New Roman" w:hAnsi="Arial" w:cs="Arial"/>
          <w:b/>
          <w:bCs/>
          <w:u w:val="single"/>
          <w:lang w:eastAsia="ar-SA"/>
        </w:rPr>
        <w:t>SERVICE CULTUREL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D924C5" w:rsidRDefault="00700DCC" w:rsidP="00700DCC">
      <w:pPr>
        <w:pStyle w:val="Titre1"/>
        <w:widowControl/>
        <w:numPr>
          <w:ilvl w:val="0"/>
          <w:numId w:val="2"/>
        </w:numPr>
        <w:tabs>
          <w:tab w:val="left" w:pos="0"/>
        </w:tabs>
        <w:spacing w:before="0"/>
        <w:jc w:val="both"/>
        <w:rPr>
          <w:rFonts w:ascii="Arial" w:eastAsia="Times New Roman" w:hAnsi="Arial" w:cs="Arial"/>
          <w:b w:val="0"/>
          <w:color w:val="auto"/>
          <w:sz w:val="24"/>
          <w:szCs w:val="24"/>
          <w:lang w:eastAsia="ar-SA"/>
        </w:rPr>
      </w:pPr>
      <w:r w:rsidRPr="00D924C5">
        <w:rPr>
          <w:rFonts w:ascii="Arial" w:eastAsia="Times New Roman" w:hAnsi="Arial" w:cs="Arial"/>
          <w:b w:val="0"/>
          <w:color w:val="auto"/>
          <w:sz w:val="24"/>
          <w:szCs w:val="24"/>
          <w:lang w:eastAsia="ar-SA"/>
        </w:rPr>
        <w:t>Assises de la Jeunesse - favoriser l’accès à la culture des jeunes : le tarif réduit pour les jeunes jusqu’à 18 ans et possibilité d’utiliser le pass culture à l’Espace Bernard Mantienne</w:t>
      </w:r>
    </w:p>
    <w:p w:rsidR="00700DCC" w:rsidRDefault="00700DCC" w:rsidP="00700DCC">
      <w:pPr>
        <w:pStyle w:val="Paragraphedeliste"/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677EC">
        <w:rPr>
          <w:rFonts w:ascii="Arial" w:eastAsia="Times New Roman" w:hAnsi="Arial" w:cs="Arial"/>
          <w:b/>
          <w:bCs/>
          <w:u w:val="single"/>
          <w:lang w:eastAsia="ar-SA"/>
        </w:rPr>
        <w:t xml:space="preserve">SERVICE </w:t>
      </w:r>
      <w:r>
        <w:rPr>
          <w:rFonts w:ascii="Arial" w:eastAsia="Times New Roman" w:hAnsi="Arial" w:cs="Arial"/>
          <w:b/>
          <w:bCs/>
          <w:u w:val="single"/>
          <w:lang w:eastAsia="ar-SA"/>
        </w:rPr>
        <w:t>JEUNES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700DCC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Demande de renouvellement de labellisation du Point information jeunesse en tant que structure information jeunesse par le réseau Info jeune, pour une durée de 3 ans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7677EC">
        <w:rPr>
          <w:rFonts w:ascii="Arial" w:eastAsia="Times New Roman" w:hAnsi="Arial" w:cs="Arial"/>
          <w:b/>
          <w:bCs/>
          <w:u w:val="single"/>
          <w:lang w:eastAsia="ar-SA"/>
        </w:rPr>
        <w:t xml:space="preserve">SERVICE </w:t>
      </w:r>
      <w:r>
        <w:rPr>
          <w:rFonts w:ascii="Arial" w:eastAsia="Times New Roman" w:hAnsi="Arial" w:cs="Arial"/>
          <w:b/>
          <w:bCs/>
          <w:u w:val="single"/>
          <w:lang w:eastAsia="ar-SA"/>
        </w:rPr>
        <w:t>SCOLAIRE</w:t>
      </w:r>
    </w:p>
    <w:p w:rsidR="00700DC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700DCC" w:rsidRPr="00D15001" w:rsidRDefault="00700DCC" w:rsidP="00700DCC">
      <w:pPr>
        <w:pStyle w:val="Paragraphedeliste"/>
        <w:widowControl/>
        <w:numPr>
          <w:ilvl w:val="0"/>
          <w:numId w:val="2"/>
        </w:numPr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Détermination de la participation familiale des classes transplantées des écoles Honoré d’Estienne d’Orves et David Régnier-Paul Fort</w:t>
      </w:r>
    </w:p>
    <w:p w:rsidR="00700DCC" w:rsidRPr="00D15001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3472B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170F7C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Cs/>
          <w:lang w:eastAsia="ar-SA"/>
        </w:rPr>
      </w:pPr>
    </w:p>
    <w:p w:rsidR="00700DCC" w:rsidRPr="009A58BF" w:rsidRDefault="00700DCC" w:rsidP="00700DCC">
      <w:pPr>
        <w:widowControl/>
        <w:suppressAutoHyphens w:val="0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9A58BF">
        <w:rPr>
          <w:rFonts w:ascii="Arial" w:eastAsia="Times New Roman" w:hAnsi="Arial" w:cs="Arial"/>
          <w:b/>
          <w:bCs/>
          <w:u w:val="single"/>
          <w:lang w:eastAsia="ar-SA"/>
        </w:rPr>
        <w:t>DÉCISIONS DU MAIRE</w:t>
      </w:r>
    </w:p>
    <w:p w:rsidR="00517082" w:rsidRDefault="00517082"/>
    <w:sectPr w:rsidR="00517082" w:rsidSect="0051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7B4F"/>
    <w:multiLevelType w:val="multilevel"/>
    <w:tmpl w:val="9936546C"/>
    <w:lvl w:ilvl="0">
      <w:start w:val="1"/>
      <w:numFmt w:val="upperRoman"/>
      <w:suff w:val="nothing"/>
      <w:lvlText w:val="Chapitre 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Titre2"/>
      <w:suff w:val="nothing"/>
      <w:lvlText w:val="Article %2."/>
      <w:lvlJc w:val="left"/>
      <w:pPr>
        <w:ind w:left="568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FF"/>
        <w:spacing w:val="0"/>
        <w:kern w:val="0"/>
        <w:position w:val="0"/>
        <w:sz w:val="23"/>
        <w:u w:val="none"/>
        <w:effect w:val="none"/>
        <w:vertAlign w:val="baseline"/>
        <w:em w:val="none"/>
      </w:rPr>
    </w:lvl>
    <w:lvl w:ilvl="2">
      <w:start w:val="1"/>
      <w:numFmt w:val="decimal"/>
      <w:pStyle w:val="Titre3"/>
      <w:lvlText w:val="%2.%3."/>
      <w:lvlJc w:val="left"/>
      <w:pPr>
        <w:ind w:left="0" w:firstLine="567"/>
      </w:pPr>
      <w:rPr>
        <w:rFonts w:ascii="Times New Roman" w:hAnsi="Times New Roman" w:hint="default"/>
        <w:b/>
        <w:i/>
        <w:sz w:val="22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suff w:val="space"/>
      <w:lvlText w:val="Annexe n°%5:"/>
      <w:lvlJc w:val="center"/>
      <w:pPr>
        <w:ind w:left="0" w:firstLine="288"/>
      </w:pPr>
      <w:rPr>
        <w:rFonts w:hint="default"/>
        <w:b/>
        <w:i/>
        <w:color w:val="008000"/>
        <w:u w:val="thick" w:color="008000"/>
      </w:rPr>
    </w:lvl>
    <w:lvl w:ilvl="5">
      <w:start w:val="1"/>
      <w:numFmt w:val="lowerLetter"/>
      <w:pStyle w:val="Titre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0" w:firstLine="0"/>
      </w:pPr>
      <w:rPr>
        <w:rFonts w:hint="default"/>
      </w:rPr>
    </w:lvl>
  </w:abstractNum>
  <w:abstractNum w:abstractNumId="1">
    <w:nsid w:val="71A772DD"/>
    <w:multiLevelType w:val="hybridMultilevel"/>
    <w:tmpl w:val="217E43A2"/>
    <w:lvl w:ilvl="0" w:tplc="040C0001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kern w:val="24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00DCC"/>
    <w:rsid w:val="00517082"/>
    <w:rsid w:val="005461DA"/>
    <w:rsid w:val="006129A2"/>
    <w:rsid w:val="00700DCC"/>
    <w:rsid w:val="00B53BD2"/>
    <w:rsid w:val="00E07DCC"/>
    <w:rsid w:val="00F9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D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00D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00DCC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700DCC"/>
    <w:pPr>
      <w:keepNext/>
      <w:numPr>
        <w:ilvl w:val="2"/>
        <w:numId w:val="1"/>
      </w:numPr>
      <w:spacing w:before="240" w:after="60"/>
      <w:outlineLvl w:val="2"/>
    </w:pPr>
    <w:rPr>
      <w:rFonts w:ascii="Arial" w:eastAsia="Lucida Sans Unicode" w:hAnsi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700DCC"/>
    <w:pPr>
      <w:keepNext/>
      <w:numPr>
        <w:ilvl w:val="5"/>
        <w:numId w:val="1"/>
      </w:numPr>
      <w:jc w:val="center"/>
      <w:outlineLvl w:val="5"/>
    </w:pPr>
    <w:rPr>
      <w:rFonts w:ascii="Times" w:hAnsi="Times"/>
      <w:b/>
      <w:sz w:val="28"/>
    </w:rPr>
  </w:style>
  <w:style w:type="paragraph" w:styleId="Titre7">
    <w:name w:val="heading 7"/>
    <w:basedOn w:val="Normal"/>
    <w:next w:val="Normal"/>
    <w:link w:val="Titre7Car"/>
    <w:unhideWhenUsed/>
    <w:qFormat/>
    <w:rsid w:val="00700DC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paragraph" w:styleId="Titre9">
    <w:name w:val="heading 9"/>
    <w:basedOn w:val="Normal"/>
    <w:next w:val="Normal"/>
    <w:link w:val="Titre9Car"/>
    <w:unhideWhenUsed/>
    <w:qFormat/>
    <w:rsid w:val="00700DC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DC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00DCC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00DCC"/>
    <w:rPr>
      <w:rFonts w:ascii="Arial" w:eastAsia="Lucida Sans Unicode" w:hAnsi="Arial" w:cs="Times New Roman"/>
      <w:b/>
      <w:bCs/>
      <w:kern w:val="1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sid w:val="00700DCC"/>
    <w:rPr>
      <w:rFonts w:ascii="Times" w:eastAsia="Arial Unicode MS" w:hAnsi="Times" w:cs="Times New Roman"/>
      <w:b/>
      <w:kern w:val="1"/>
      <w:sz w:val="28"/>
      <w:szCs w:val="24"/>
    </w:rPr>
  </w:style>
  <w:style w:type="character" w:customStyle="1" w:styleId="Titre7Car">
    <w:name w:val="Titre 7 Car"/>
    <w:basedOn w:val="Policepardfaut"/>
    <w:link w:val="Titre7"/>
    <w:rsid w:val="00700DCC"/>
    <w:rPr>
      <w:rFonts w:ascii="Calibri" w:eastAsia="Times New Roman" w:hAnsi="Calibri" w:cs="Times New Roman"/>
      <w:kern w:val="1"/>
      <w:sz w:val="24"/>
      <w:szCs w:val="24"/>
    </w:rPr>
  </w:style>
  <w:style w:type="character" w:customStyle="1" w:styleId="Titre9Car">
    <w:name w:val="Titre 9 Car"/>
    <w:basedOn w:val="Policepardfaut"/>
    <w:link w:val="Titre9"/>
    <w:rsid w:val="00700DCC"/>
    <w:rPr>
      <w:rFonts w:ascii="Cambria" w:eastAsia="Times New Roman" w:hAnsi="Cambria" w:cs="Times New Roman"/>
      <w:kern w:val="1"/>
    </w:rPr>
  </w:style>
  <w:style w:type="paragraph" w:styleId="Corpsdetexte">
    <w:name w:val="Body Text"/>
    <w:basedOn w:val="Normal"/>
    <w:link w:val="CorpsdetexteCar"/>
    <w:qFormat/>
    <w:rsid w:val="00700DC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00DC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orpsdetexte31">
    <w:name w:val="Corps de texte 31"/>
    <w:basedOn w:val="Normal"/>
    <w:rsid w:val="00700DCC"/>
    <w:pPr>
      <w:ind w:right="140"/>
      <w:jc w:val="both"/>
    </w:pPr>
    <w:rPr>
      <w:bCs/>
    </w:rPr>
  </w:style>
  <w:style w:type="paragraph" w:styleId="Paragraphedeliste">
    <w:name w:val="List Paragraph"/>
    <w:aliases w:val="Corps"/>
    <w:basedOn w:val="Normal"/>
    <w:link w:val="ParagraphedelisteCar"/>
    <w:uiPriority w:val="34"/>
    <w:qFormat/>
    <w:rsid w:val="00700DCC"/>
    <w:pPr>
      <w:ind w:left="720"/>
      <w:contextualSpacing/>
    </w:pPr>
  </w:style>
  <w:style w:type="character" w:customStyle="1" w:styleId="ParagraphedelisteCar">
    <w:name w:val="Paragraphe de liste Car"/>
    <w:aliases w:val="Corps Car"/>
    <w:link w:val="Paragraphedeliste"/>
    <w:uiPriority w:val="34"/>
    <w:qFormat/>
    <w:locked/>
    <w:rsid w:val="00700DC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W10DGS03</dc:creator>
  <cp:lastModifiedBy>W10DGS03</cp:lastModifiedBy>
  <cp:revision>1</cp:revision>
  <dcterms:created xsi:type="dcterms:W3CDTF">2022-03-22T16:04:00Z</dcterms:created>
  <dcterms:modified xsi:type="dcterms:W3CDTF">2022-03-22T16:04:00Z</dcterms:modified>
</cp:coreProperties>
</file>